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6844B5"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r w:rsidRPr="006E0C23">
        <w:rPr>
          <w:rFonts w:ascii="Times New Roman" w:eastAsia="Times New Roman" w:hAnsi="Times New Roman" w:cs="Times New Roman"/>
          <w:color w:val="222222"/>
          <w:sz w:val="24"/>
          <w:szCs w:val="24"/>
        </w:rPr>
        <w:t xml:space="preserve">   </w:t>
      </w:r>
    </w:p>
    <w:p w14:paraId="5520C3EC"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p>
    <w:p w14:paraId="65090B59"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r w:rsidRPr="006E0C23">
        <w:rPr>
          <w:rFonts w:ascii="Times New Roman" w:eastAsia="Times New Roman" w:hAnsi="Times New Roman" w:cs="Times New Roman"/>
          <w:color w:val="222222"/>
          <w:sz w:val="24"/>
          <w:szCs w:val="24"/>
        </w:rPr>
        <w:t xml:space="preserve">                                             </w:t>
      </w:r>
    </w:p>
    <w:p w14:paraId="270554A3"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p>
    <w:p w14:paraId="128CBBFF" w14:textId="77777777" w:rsidR="006E0C23" w:rsidRPr="006E0C23" w:rsidRDefault="006E0C23" w:rsidP="006E0C23">
      <w:pPr>
        <w:spacing w:line="480" w:lineRule="auto"/>
        <w:jc w:val="center"/>
        <w:rPr>
          <w:rFonts w:ascii="Times New Roman" w:eastAsia="Times New Roman" w:hAnsi="Times New Roman" w:cs="Times New Roman"/>
          <w:color w:val="222222"/>
          <w:sz w:val="24"/>
          <w:szCs w:val="24"/>
        </w:rPr>
      </w:pPr>
      <w:bookmarkStart w:id="0" w:name="_GoBack"/>
      <w:bookmarkEnd w:id="0"/>
      <w:r w:rsidRPr="006E0C23">
        <w:rPr>
          <w:rFonts w:ascii="Times New Roman" w:eastAsia="Times New Roman" w:hAnsi="Times New Roman" w:cs="Times New Roman"/>
          <w:color w:val="222222"/>
          <w:sz w:val="24"/>
          <w:szCs w:val="24"/>
        </w:rPr>
        <w:t>Demand Forecast Model</w:t>
      </w:r>
    </w:p>
    <w:p w14:paraId="3C14E3C1" w14:textId="77777777" w:rsidR="006E0C23" w:rsidRPr="006E0C23" w:rsidRDefault="006E0C23" w:rsidP="006E0C23">
      <w:pPr>
        <w:spacing w:line="480" w:lineRule="auto"/>
        <w:jc w:val="center"/>
        <w:rPr>
          <w:rFonts w:ascii="Times New Roman" w:eastAsia="Times New Roman" w:hAnsi="Times New Roman" w:cs="Times New Roman"/>
          <w:color w:val="222222"/>
          <w:sz w:val="24"/>
          <w:szCs w:val="24"/>
        </w:rPr>
      </w:pPr>
      <w:r w:rsidRPr="006E0C23">
        <w:rPr>
          <w:rFonts w:ascii="Times New Roman" w:eastAsia="Times New Roman" w:hAnsi="Times New Roman" w:cs="Times New Roman"/>
          <w:color w:val="222222"/>
          <w:sz w:val="24"/>
          <w:szCs w:val="24"/>
        </w:rPr>
        <w:t>Name:</w:t>
      </w:r>
    </w:p>
    <w:p w14:paraId="08722CD9" w14:textId="77777777" w:rsidR="006E0C23" w:rsidRPr="006E0C23" w:rsidRDefault="006E0C23" w:rsidP="006E0C23">
      <w:pPr>
        <w:spacing w:line="480" w:lineRule="auto"/>
        <w:jc w:val="center"/>
        <w:rPr>
          <w:rFonts w:ascii="Times New Roman" w:eastAsia="Times New Roman" w:hAnsi="Times New Roman" w:cs="Times New Roman"/>
          <w:color w:val="222222"/>
          <w:sz w:val="24"/>
          <w:szCs w:val="24"/>
        </w:rPr>
      </w:pPr>
      <w:r w:rsidRPr="006E0C23">
        <w:rPr>
          <w:rFonts w:ascii="Times New Roman" w:eastAsia="Times New Roman" w:hAnsi="Times New Roman" w:cs="Times New Roman"/>
          <w:color w:val="222222"/>
          <w:sz w:val="24"/>
          <w:szCs w:val="24"/>
        </w:rPr>
        <w:t>Tutor:</w:t>
      </w:r>
    </w:p>
    <w:p w14:paraId="1F2F2A1F" w14:textId="77777777" w:rsidR="006E0C23" w:rsidRPr="006E0C23" w:rsidRDefault="006E0C23" w:rsidP="006E0C23">
      <w:pPr>
        <w:spacing w:line="480" w:lineRule="auto"/>
        <w:jc w:val="center"/>
        <w:rPr>
          <w:rFonts w:ascii="Times New Roman" w:eastAsia="Times New Roman" w:hAnsi="Times New Roman" w:cs="Times New Roman"/>
          <w:color w:val="222222"/>
          <w:sz w:val="24"/>
          <w:szCs w:val="24"/>
        </w:rPr>
      </w:pPr>
      <w:proofErr w:type="spellStart"/>
      <w:r w:rsidRPr="006E0C23">
        <w:rPr>
          <w:rFonts w:ascii="Times New Roman" w:eastAsia="Times New Roman" w:hAnsi="Times New Roman" w:cs="Times New Roman"/>
          <w:color w:val="222222"/>
          <w:sz w:val="24"/>
          <w:szCs w:val="24"/>
        </w:rPr>
        <w:t>Reg</w:t>
      </w:r>
      <w:proofErr w:type="spellEnd"/>
      <w:r w:rsidRPr="006E0C23">
        <w:rPr>
          <w:rFonts w:ascii="Times New Roman" w:eastAsia="Times New Roman" w:hAnsi="Times New Roman" w:cs="Times New Roman"/>
          <w:color w:val="222222"/>
          <w:sz w:val="24"/>
          <w:szCs w:val="24"/>
        </w:rPr>
        <w:t xml:space="preserve"> Number:</w:t>
      </w:r>
    </w:p>
    <w:p w14:paraId="6F6F9DF5" w14:textId="77777777" w:rsidR="006E0C23" w:rsidRPr="006E0C23" w:rsidRDefault="006E0C23" w:rsidP="006E0C23">
      <w:pPr>
        <w:spacing w:line="480" w:lineRule="auto"/>
        <w:jc w:val="center"/>
        <w:rPr>
          <w:rFonts w:ascii="Times New Roman" w:eastAsia="Times New Roman" w:hAnsi="Times New Roman" w:cs="Times New Roman"/>
          <w:color w:val="222222"/>
          <w:sz w:val="24"/>
          <w:szCs w:val="24"/>
        </w:rPr>
      </w:pPr>
      <w:r w:rsidRPr="006E0C23">
        <w:rPr>
          <w:rFonts w:ascii="Times New Roman" w:eastAsia="Times New Roman" w:hAnsi="Times New Roman" w:cs="Times New Roman"/>
          <w:color w:val="222222"/>
          <w:sz w:val="24"/>
          <w:szCs w:val="24"/>
        </w:rPr>
        <w:t>Institute:</w:t>
      </w:r>
    </w:p>
    <w:p w14:paraId="280BB0C6"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p>
    <w:p w14:paraId="63895DA4" w14:textId="77777777" w:rsidR="006E0C23" w:rsidRDefault="006E0C23" w:rsidP="006E0C23">
      <w:pPr>
        <w:spacing w:line="480" w:lineRule="auto"/>
        <w:jc w:val="both"/>
        <w:rPr>
          <w:rFonts w:ascii="Times New Roman" w:eastAsia="Times New Roman" w:hAnsi="Times New Roman" w:cs="Times New Roman"/>
          <w:color w:val="222222"/>
          <w:sz w:val="24"/>
          <w:szCs w:val="24"/>
        </w:rPr>
      </w:pPr>
    </w:p>
    <w:p w14:paraId="0E0B3784" w14:textId="77777777" w:rsidR="006E0C23" w:rsidRDefault="006E0C23" w:rsidP="006E0C23">
      <w:pPr>
        <w:spacing w:line="480" w:lineRule="auto"/>
        <w:jc w:val="both"/>
        <w:rPr>
          <w:rFonts w:ascii="Times New Roman" w:eastAsia="Times New Roman" w:hAnsi="Times New Roman" w:cs="Times New Roman"/>
          <w:color w:val="222222"/>
          <w:sz w:val="24"/>
          <w:szCs w:val="24"/>
        </w:rPr>
      </w:pPr>
    </w:p>
    <w:p w14:paraId="5F5D77ED" w14:textId="77777777" w:rsidR="006E0C23" w:rsidRDefault="006E0C23" w:rsidP="006E0C23">
      <w:pPr>
        <w:spacing w:line="480" w:lineRule="auto"/>
        <w:jc w:val="both"/>
        <w:rPr>
          <w:rFonts w:ascii="Times New Roman" w:eastAsia="Times New Roman" w:hAnsi="Times New Roman" w:cs="Times New Roman"/>
          <w:color w:val="222222"/>
          <w:sz w:val="24"/>
          <w:szCs w:val="24"/>
        </w:rPr>
      </w:pPr>
    </w:p>
    <w:p w14:paraId="1FCEA90C" w14:textId="77777777" w:rsidR="006E0C23" w:rsidRDefault="006E0C23" w:rsidP="006E0C23">
      <w:pPr>
        <w:spacing w:line="480" w:lineRule="auto"/>
        <w:jc w:val="both"/>
        <w:rPr>
          <w:rFonts w:ascii="Times New Roman" w:eastAsia="Times New Roman" w:hAnsi="Times New Roman" w:cs="Times New Roman"/>
          <w:color w:val="222222"/>
          <w:sz w:val="24"/>
          <w:szCs w:val="24"/>
        </w:rPr>
      </w:pPr>
    </w:p>
    <w:p w14:paraId="5638050E" w14:textId="77777777" w:rsidR="006E0C23" w:rsidRDefault="006E0C23" w:rsidP="006E0C23">
      <w:pPr>
        <w:spacing w:line="480" w:lineRule="auto"/>
        <w:jc w:val="both"/>
        <w:rPr>
          <w:rFonts w:ascii="Times New Roman" w:eastAsia="Times New Roman" w:hAnsi="Times New Roman" w:cs="Times New Roman"/>
          <w:color w:val="222222"/>
          <w:sz w:val="24"/>
          <w:szCs w:val="24"/>
        </w:rPr>
      </w:pPr>
    </w:p>
    <w:p w14:paraId="3E26BFCE" w14:textId="77777777" w:rsidR="006E0C23" w:rsidRDefault="006E0C23" w:rsidP="006E0C23">
      <w:pPr>
        <w:spacing w:line="480" w:lineRule="auto"/>
        <w:jc w:val="both"/>
        <w:rPr>
          <w:rFonts w:ascii="Times New Roman" w:eastAsia="Times New Roman" w:hAnsi="Times New Roman" w:cs="Times New Roman"/>
          <w:color w:val="222222"/>
          <w:sz w:val="24"/>
          <w:szCs w:val="24"/>
        </w:rPr>
      </w:pPr>
    </w:p>
    <w:p w14:paraId="6F9913E1"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p>
    <w:p w14:paraId="27DA41E2"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r w:rsidRPr="006E0C23">
        <w:rPr>
          <w:rFonts w:ascii="Times New Roman" w:eastAsia="Times New Roman" w:hAnsi="Times New Roman" w:cs="Times New Roman"/>
          <w:color w:val="222222"/>
          <w:sz w:val="24"/>
          <w:szCs w:val="24"/>
        </w:rPr>
        <w:t> </w:t>
      </w:r>
    </w:p>
    <w:p w14:paraId="5E9C9AF8" w14:textId="5EF81B7B" w:rsidR="006E0C23" w:rsidRPr="006E0C23" w:rsidRDefault="006E0C23" w:rsidP="006E0C23">
      <w:pPr>
        <w:spacing w:line="48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 xml:space="preserve">Introduction </w:t>
      </w:r>
    </w:p>
    <w:p w14:paraId="53408F28" w14:textId="3B839371" w:rsidR="006E0C23" w:rsidRPr="006E0C23" w:rsidRDefault="006E0C23" w:rsidP="006E0C23">
      <w:pPr>
        <w:spacing w:line="480" w:lineRule="auto"/>
        <w:jc w:val="both"/>
        <w:rPr>
          <w:rFonts w:ascii="Times New Roman" w:eastAsia="Times New Roman" w:hAnsi="Times New Roman" w:cs="Times New Roman"/>
          <w:color w:val="222222"/>
          <w:sz w:val="24"/>
          <w:szCs w:val="24"/>
        </w:rPr>
      </w:pPr>
      <w:r w:rsidRPr="006E0C23">
        <w:rPr>
          <w:rFonts w:ascii="Times New Roman" w:eastAsia="Times New Roman" w:hAnsi="Times New Roman" w:cs="Times New Roman"/>
          <w:color w:val="222222"/>
          <w:sz w:val="24"/>
          <w:szCs w:val="24"/>
        </w:rPr>
        <w:t xml:space="preserve">With the modern integrated business and market conditions, businesses are being choreographed to join the evolving virtual platform. This hence has seen rapid evolving of markets as well as high volatility in demand of goods and services. Demand forecast model is generally a tool used to predict future sales demand for a product with the aim of helping management optimize its supply decisions. These forecast models enhance the quality of decisions made by the firm’s management hence lowers inventory holding cost, creates customer satisfaction, improves supply chain management as well as profitability (Lewis, 2012). It is therefore important for Ami to adopt sophisticated demand forecasting techniques to meet PK Village sales demand on the lubricant product. Also, SKU’s sales will be maximized which will increase the overall sale revenues of the firm (Chase, 2013). This report highlights a detailed sales forecasting model which will allow Ms. Patel to manage sales demand for the upcoming months effectively. Also, all the necessary assumptions factored in the generation of predictions in the MS Excel will be articulated. Lastly, </w:t>
      </w:r>
      <w:r w:rsidR="00E4382C">
        <w:rPr>
          <w:rFonts w:ascii="Times New Roman" w:eastAsia="Times New Roman" w:hAnsi="Times New Roman" w:cs="Times New Roman"/>
          <w:color w:val="222222"/>
          <w:sz w:val="24"/>
          <w:szCs w:val="24"/>
        </w:rPr>
        <w:t>the</w:t>
      </w:r>
      <w:r w:rsidRPr="006E0C23">
        <w:rPr>
          <w:rFonts w:ascii="Times New Roman" w:eastAsia="Times New Roman" w:hAnsi="Times New Roman" w:cs="Times New Roman"/>
          <w:color w:val="222222"/>
          <w:sz w:val="24"/>
          <w:szCs w:val="24"/>
        </w:rPr>
        <w:t xml:space="preserve"> summary</w:t>
      </w:r>
      <w:r w:rsidR="00E4382C">
        <w:rPr>
          <w:rFonts w:ascii="Times New Roman" w:eastAsia="Times New Roman" w:hAnsi="Times New Roman" w:cs="Times New Roman"/>
          <w:color w:val="222222"/>
          <w:sz w:val="24"/>
          <w:szCs w:val="24"/>
        </w:rPr>
        <w:t>,</w:t>
      </w:r>
      <w:r w:rsidRPr="006E0C23">
        <w:rPr>
          <w:rFonts w:ascii="Times New Roman" w:eastAsia="Times New Roman" w:hAnsi="Times New Roman" w:cs="Times New Roman"/>
          <w:color w:val="222222"/>
          <w:sz w:val="24"/>
          <w:szCs w:val="24"/>
        </w:rPr>
        <w:t xml:space="preserve"> analysis, as well as a recommendation on how Ami will handle sales demand, will be factored.</w:t>
      </w:r>
    </w:p>
    <w:p w14:paraId="6EC0D2DC"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r w:rsidRPr="006E0C23">
        <w:rPr>
          <w:rFonts w:ascii="Times New Roman" w:eastAsia="Times New Roman" w:hAnsi="Times New Roman" w:cs="Times New Roman"/>
          <w:color w:val="222222"/>
          <w:sz w:val="24"/>
          <w:szCs w:val="24"/>
        </w:rPr>
        <w:t>Assumptions</w:t>
      </w:r>
    </w:p>
    <w:p w14:paraId="7666403F"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r w:rsidRPr="006E0C23">
        <w:rPr>
          <w:rFonts w:ascii="Times New Roman" w:eastAsia="Times New Roman" w:hAnsi="Times New Roman" w:cs="Times New Roman"/>
          <w:color w:val="222222"/>
          <w:sz w:val="24"/>
          <w:szCs w:val="24"/>
        </w:rPr>
        <w:t xml:space="preserve">During the adoption of the three models, various assumptions were factored to ensure they were consistent and effective. First, the forecast assumes that the market will remain uninfluenced by external market forces in that competition will either remain constant or grow accordingly as demand for the sales increase. Additionally, no extra cost will be incurred on advertisement processes hence assuming veteran customers will refer other consumers to purchase the product. Since the product quality will remain undiluted, it is assumed that the number of sales will not </w:t>
      </w:r>
      <w:r w:rsidRPr="006E0C23">
        <w:rPr>
          <w:rFonts w:ascii="Times New Roman" w:eastAsia="Times New Roman" w:hAnsi="Times New Roman" w:cs="Times New Roman"/>
          <w:color w:val="222222"/>
          <w:sz w:val="24"/>
          <w:szCs w:val="24"/>
        </w:rPr>
        <w:lastRenderedPageBreak/>
        <w:t>have a major influx regarding quality. Additionally, it is assumed that production line supplying the product will experience no major interruptions hence demand will not be influenced by machine breakdowns from the production unit. It also presumed that Ms. Patel would not increase lubricant prices to ensure demand for sales does not decrease (Roberts, Gary, &amp; Heriot, 2014).</w:t>
      </w:r>
    </w:p>
    <w:p w14:paraId="4BBBBAAE"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r w:rsidRPr="006E0C23">
        <w:rPr>
          <w:rFonts w:ascii="Times New Roman" w:eastAsia="Times New Roman" w:hAnsi="Times New Roman" w:cs="Times New Roman"/>
          <w:color w:val="222222"/>
          <w:sz w:val="24"/>
          <w:szCs w:val="24"/>
        </w:rPr>
        <w:t xml:space="preserve">The attached Excel document contains two vital worksheets; named as Automated Forecast and Combined Linear Forecast which highlights the expected sale demand outcome of PK Village entity in the next one year. The first worksheet represents raw data derived from past five years demand data as collected and recorded from the firm sale inventory. Right from the year 2013 to 2014, the data shows distinct complex sales trends which have been integrated to generate meaningful information. Raw data has been keyed into an excel worksheet where it is grouped into four columns with the first amplifying for Period, counting from 1 to 60 total months in January of 2013 to December of 2017. The second column represents a year from 2013 to 2014; the third stands for a month in a year while the fourth exhibits total demand of the lubricant product. </w:t>
      </w:r>
    </w:p>
    <w:p w14:paraId="7BF5808C"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r w:rsidRPr="006E0C23">
        <w:rPr>
          <w:rFonts w:ascii="Times New Roman" w:eastAsia="Times New Roman" w:hAnsi="Times New Roman" w:cs="Times New Roman"/>
          <w:color w:val="222222"/>
          <w:sz w:val="24"/>
          <w:szCs w:val="24"/>
        </w:rPr>
        <w:t>In the automated worksheet, the keyed data is highlighted and clicking on forecast sheet in the data icon, a detailed forecast tabulating forecast up to the 73rd month is given. The worksheet gives the actual forecast, upper and lower bound limit. As the results emerge, the upper limit demand sales for the first quarter of 2018 are estimated to be 444.28, 579.37, 453.00 and 444.92 with the lower limit being 289.52, 423.37, 297.75 and 286.40. It is hence wise to adopt actual forecast which averages the two bounds hence giving the forecasted sales of January, February, March, and April of 2018 as 366.9, 501.37, 374.37 and 365.7.</w:t>
      </w:r>
    </w:p>
    <w:p w14:paraId="145164D0"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r w:rsidRPr="006E0C23">
        <w:rPr>
          <w:rFonts w:ascii="Times New Roman" w:eastAsia="Times New Roman" w:hAnsi="Times New Roman" w:cs="Times New Roman"/>
          <w:color w:val="222222"/>
          <w:sz w:val="24"/>
          <w:szCs w:val="24"/>
        </w:rPr>
        <w:lastRenderedPageBreak/>
        <w:t xml:space="preserve">     On the other hand, the worked-out sheet gives varying results where two models of demand forecasting (Linear and seasonality forecasting treads) are used. In the first four months of 2018, linear sales tread is expected to be 363.69, 366.21, 368.72 and 371.24 while seasonality forecasting method for the same period predicts the sales demand to be 354.10, 540.83, 356.17 and 358.86. This information tends to generate a disparity which requires intense analysis to enable settle with the most effective figure that will be of help to the firm as well as to Ms. Patel. Additionally, the three graphs as shown in excel workbook displays distinct varying information with their waves showing how the sales demand of the firm’s SKU. The linear graph on its part indicates a demand for the lubricant might increase progressively in the first quarter of 2018 with January sales standing at 364 units. Seasonal model as well indicates to increase constantly with a sharp rise of up to 541 units in February however the lubricant demand in January may be quite low at 354 units. Automated graph as well estimates demand for SKU’s product in January to average at 367 units with an unstable reflection in the first four months of 2018 hence differing with the other two.</w:t>
      </w:r>
    </w:p>
    <w:p w14:paraId="11952D0C"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p>
    <w:p w14:paraId="22EDE2A7"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r w:rsidRPr="006E0C23">
        <w:rPr>
          <w:rFonts w:ascii="Times New Roman" w:eastAsia="Times New Roman" w:hAnsi="Times New Roman" w:cs="Times New Roman"/>
          <w:color w:val="222222"/>
          <w:sz w:val="24"/>
          <w:szCs w:val="24"/>
        </w:rPr>
        <w:t>Recommendation Plan and Conclusion</w:t>
      </w:r>
    </w:p>
    <w:p w14:paraId="1B1CEA7A" w14:textId="701CC444" w:rsidR="006E0C23" w:rsidRPr="006E0C23" w:rsidRDefault="006E0C23" w:rsidP="006E0C23">
      <w:pPr>
        <w:spacing w:line="480" w:lineRule="auto"/>
        <w:jc w:val="both"/>
        <w:rPr>
          <w:rFonts w:ascii="Times New Roman" w:eastAsia="Times New Roman" w:hAnsi="Times New Roman" w:cs="Times New Roman"/>
          <w:color w:val="222222"/>
          <w:sz w:val="24"/>
          <w:szCs w:val="24"/>
        </w:rPr>
      </w:pPr>
      <w:r w:rsidRPr="006E0C23">
        <w:rPr>
          <w:rFonts w:ascii="Times New Roman" w:eastAsia="Times New Roman" w:hAnsi="Times New Roman" w:cs="Times New Roman"/>
          <w:color w:val="222222"/>
          <w:sz w:val="24"/>
          <w:szCs w:val="24"/>
        </w:rPr>
        <w:t xml:space="preserve">From in-depth analysis of assumptions factored, the nature of the forecasting models as well as the figure generated from the model. It is recommendable for Aki to ensure she maintains high-quality customer service to avoid competition from firms retailing similar lubricant product. Additionally, she must see to it that the SKU lubricant is up to the required quality standard while at the same time maintaining the primal selling price, this will keep demand constant hence realizing the forecast highlighted above. As predicted from demand forecasting models, the </w:t>
      </w:r>
      <w:r w:rsidRPr="006E0C23">
        <w:rPr>
          <w:rFonts w:ascii="Times New Roman" w:eastAsia="Times New Roman" w:hAnsi="Times New Roman" w:cs="Times New Roman"/>
          <w:color w:val="222222"/>
          <w:sz w:val="24"/>
          <w:szCs w:val="24"/>
        </w:rPr>
        <w:lastRenderedPageBreak/>
        <w:t xml:space="preserve">average demand sales of the three models lie at 387.36 which </w:t>
      </w:r>
      <w:r w:rsidR="00E4382C" w:rsidRPr="006E0C23">
        <w:rPr>
          <w:rFonts w:ascii="Times New Roman" w:eastAsia="Times New Roman" w:hAnsi="Times New Roman" w:cs="Times New Roman"/>
          <w:color w:val="222222"/>
          <w:sz w:val="24"/>
          <w:szCs w:val="24"/>
        </w:rPr>
        <w:t>indicate</w:t>
      </w:r>
      <w:r w:rsidRPr="006E0C23">
        <w:rPr>
          <w:rFonts w:ascii="Times New Roman" w:eastAsia="Times New Roman" w:hAnsi="Times New Roman" w:cs="Times New Roman"/>
          <w:color w:val="222222"/>
          <w:sz w:val="24"/>
          <w:szCs w:val="24"/>
        </w:rPr>
        <w:t xml:space="preserve"> at least 387 units of the lubricant will be demanded. It is thereby advisable for Aki to ensure she stocks this number of units in January to allow her to meet her customers demand. Since the three models give distinct forecasts, it is advisable for Aki as well as Ms. Patel to adopt the three techniques and later get an average figure from the proceeding figures which will ensure efficiency of the information being generated from these projections (</w:t>
      </w:r>
      <w:proofErr w:type="spellStart"/>
      <w:r w:rsidRPr="006E0C23">
        <w:rPr>
          <w:rFonts w:ascii="Times New Roman" w:eastAsia="Times New Roman" w:hAnsi="Times New Roman" w:cs="Times New Roman"/>
          <w:color w:val="222222"/>
          <w:sz w:val="24"/>
          <w:szCs w:val="24"/>
        </w:rPr>
        <w:t>Thomsonpolous</w:t>
      </w:r>
      <w:proofErr w:type="spellEnd"/>
      <w:r w:rsidRPr="006E0C23">
        <w:rPr>
          <w:rFonts w:ascii="Times New Roman" w:eastAsia="Times New Roman" w:hAnsi="Times New Roman" w:cs="Times New Roman"/>
          <w:color w:val="222222"/>
          <w:sz w:val="24"/>
          <w:szCs w:val="24"/>
        </w:rPr>
        <w:t xml:space="preserve">, 2014). </w:t>
      </w:r>
    </w:p>
    <w:p w14:paraId="3F5BFA93"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p>
    <w:p w14:paraId="46A8B258"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p>
    <w:p w14:paraId="50CEA4BF"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p>
    <w:p w14:paraId="229317DE"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p>
    <w:p w14:paraId="00076962"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p>
    <w:p w14:paraId="37627DE3"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p>
    <w:p w14:paraId="58844A87"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p>
    <w:p w14:paraId="662BF515"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p>
    <w:p w14:paraId="3F6610E1"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p>
    <w:p w14:paraId="49A250F1"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p>
    <w:p w14:paraId="73081925"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p>
    <w:p w14:paraId="18B99A5A"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r w:rsidRPr="006E0C23">
        <w:rPr>
          <w:rFonts w:ascii="Times New Roman" w:eastAsia="Times New Roman" w:hAnsi="Times New Roman" w:cs="Times New Roman"/>
          <w:color w:val="222222"/>
          <w:sz w:val="24"/>
          <w:szCs w:val="24"/>
        </w:rPr>
        <w:t>References</w:t>
      </w:r>
    </w:p>
    <w:p w14:paraId="2363368E"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r w:rsidRPr="006E0C23">
        <w:rPr>
          <w:rFonts w:ascii="Times New Roman" w:eastAsia="Times New Roman" w:hAnsi="Times New Roman" w:cs="Times New Roman"/>
          <w:color w:val="222222"/>
          <w:sz w:val="24"/>
          <w:szCs w:val="24"/>
        </w:rPr>
        <w:lastRenderedPageBreak/>
        <w:t>Chase, C. (2013). Demand-Driven Forecasting: A Structured Approach to Forecasting. Hoboken: John Wiley &amp; Sons.</w:t>
      </w:r>
    </w:p>
    <w:p w14:paraId="3030A07B"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r w:rsidRPr="006E0C23">
        <w:rPr>
          <w:rFonts w:ascii="Times New Roman" w:eastAsia="Times New Roman" w:hAnsi="Times New Roman" w:cs="Times New Roman"/>
          <w:color w:val="222222"/>
          <w:sz w:val="24"/>
          <w:szCs w:val="24"/>
        </w:rPr>
        <w:t xml:space="preserve">Lewis, C. (2012). </w:t>
      </w:r>
      <w:proofErr w:type="gramStart"/>
      <w:r w:rsidRPr="006E0C23">
        <w:rPr>
          <w:rFonts w:ascii="Times New Roman" w:eastAsia="Times New Roman" w:hAnsi="Times New Roman" w:cs="Times New Roman"/>
          <w:color w:val="222222"/>
          <w:sz w:val="24"/>
          <w:szCs w:val="24"/>
        </w:rPr>
        <w:t>Demand Forecasting and Inventory Control.</w:t>
      </w:r>
      <w:proofErr w:type="gramEnd"/>
      <w:r w:rsidRPr="006E0C23">
        <w:rPr>
          <w:rFonts w:ascii="Times New Roman" w:eastAsia="Times New Roman" w:hAnsi="Times New Roman" w:cs="Times New Roman"/>
          <w:color w:val="222222"/>
          <w:sz w:val="24"/>
          <w:szCs w:val="24"/>
        </w:rPr>
        <w:t xml:space="preserve"> New York: </w:t>
      </w:r>
      <w:proofErr w:type="spellStart"/>
      <w:r w:rsidRPr="006E0C23">
        <w:rPr>
          <w:rFonts w:ascii="Times New Roman" w:eastAsia="Times New Roman" w:hAnsi="Times New Roman" w:cs="Times New Roman"/>
          <w:color w:val="222222"/>
          <w:sz w:val="24"/>
          <w:szCs w:val="24"/>
        </w:rPr>
        <w:t>Routledge</w:t>
      </w:r>
      <w:proofErr w:type="spellEnd"/>
      <w:r w:rsidRPr="006E0C23">
        <w:rPr>
          <w:rFonts w:ascii="Times New Roman" w:eastAsia="Times New Roman" w:hAnsi="Times New Roman" w:cs="Times New Roman"/>
          <w:color w:val="222222"/>
          <w:sz w:val="24"/>
          <w:szCs w:val="24"/>
        </w:rPr>
        <w:t xml:space="preserve"> Publishers.</w:t>
      </w:r>
    </w:p>
    <w:p w14:paraId="54895FAE"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proofErr w:type="gramStart"/>
      <w:r w:rsidRPr="006E0C23">
        <w:rPr>
          <w:rFonts w:ascii="Times New Roman" w:eastAsia="Times New Roman" w:hAnsi="Times New Roman" w:cs="Times New Roman"/>
          <w:color w:val="222222"/>
          <w:sz w:val="24"/>
          <w:szCs w:val="24"/>
        </w:rPr>
        <w:t>Roberts, Gary, B., &amp; Heriot.</w:t>
      </w:r>
      <w:proofErr w:type="gramEnd"/>
      <w:r w:rsidRPr="006E0C23">
        <w:rPr>
          <w:rFonts w:ascii="Times New Roman" w:eastAsia="Times New Roman" w:hAnsi="Times New Roman" w:cs="Times New Roman"/>
          <w:color w:val="222222"/>
          <w:sz w:val="24"/>
          <w:szCs w:val="24"/>
        </w:rPr>
        <w:t xml:space="preserve"> (2014). Forecasting Demand: Sensitivity Analysis of Financial Assumptions Using MS Excel. Atlantic Marketing Journal, 32-54.</w:t>
      </w:r>
    </w:p>
    <w:p w14:paraId="35287D9D"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proofErr w:type="spellStart"/>
      <w:r w:rsidRPr="006E0C23">
        <w:rPr>
          <w:rFonts w:ascii="Times New Roman" w:eastAsia="Times New Roman" w:hAnsi="Times New Roman" w:cs="Times New Roman"/>
          <w:color w:val="222222"/>
          <w:sz w:val="24"/>
          <w:szCs w:val="24"/>
        </w:rPr>
        <w:t>Thomsonpolous</w:t>
      </w:r>
      <w:proofErr w:type="spellEnd"/>
      <w:r w:rsidRPr="006E0C23">
        <w:rPr>
          <w:rFonts w:ascii="Times New Roman" w:eastAsia="Times New Roman" w:hAnsi="Times New Roman" w:cs="Times New Roman"/>
          <w:color w:val="222222"/>
          <w:sz w:val="24"/>
          <w:szCs w:val="24"/>
        </w:rPr>
        <w:t xml:space="preserve">, N. (2014). </w:t>
      </w:r>
      <w:proofErr w:type="gramStart"/>
      <w:r w:rsidRPr="006E0C23">
        <w:rPr>
          <w:rFonts w:ascii="Times New Roman" w:eastAsia="Times New Roman" w:hAnsi="Times New Roman" w:cs="Times New Roman"/>
          <w:color w:val="222222"/>
          <w:sz w:val="24"/>
          <w:szCs w:val="24"/>
        </w:rPr>
        <w:t>Demand Forecasting for Inventory Control.</w:t>
      </w:r>
      <w:proofErr w:type="gramEnd"/>
      <w:r w:rsidRPr="006E0C23">
        <w:rPr>
          <w:rFonts w:ascii="Times New Roman" w:eastAsia="Times New Roman" w:hAnsi="Times New Roman" w:cs="Times New Roman"/>
          <w:color w:val="222222"/>
          <w:sz w:val="24"/>
          <w:szCs w:val="24"/>
        </w:rPr>
        <w:t xml:space="preserve"> New </w:t>
      </w:r>
      <w:proofErr w:type="gramStart"/>
      <w:r w:rsidRPr="006E0C23">
        <w:rPr>
          <w:rFonts w:ascii="Times New Roman" w:eastAsia="Times New Roman" w:hAnsi="Times New Roman" w:cs="Times New Roman"/>
          <w:color w:val="222222"/>
          <w:sz w:val="24"/>
          <w:szCs w:val="24"/>
        </w:rPr>
        <w:t>York :</w:t>
      </w:r>
      <w:proofErr w:type="gramEnd"/>
      <w:r w:rsidRPr="006E0C23">
        <w:rPr>
          <w:rFonts w:ascii="Times New Roman" w:eastAsia="Times New Roman" w:hAnsi="Times New Roman" w:cs="Times New Roman"/>
          <w:color w:val="222222"/>
          <w:sz w:val="24"/>
          <w:szCs w:val="24"/>
        </w:rPr>
        <w:t xml:space="preserve"> Springer Publishers.</w:t>
      </w:r>
    </w:p>
    <w:p w14:paraId="6D67BCFC" w14:textId="77777777" w:rsidR="006E0C23" w:rsidRPr="006E0C23" w:rsidRDefault="006E0C23" w:rsidP="006E0C23">
      <w:pPr>
        <w:spacing w:line="480" w:lineRule="auto"/>
        <w:jc w:val="both"/>
        <w:rPr>
          <w:rFonts w:ascii="Times New Roman" w:eastAsia="Times New Roman" w:hAnsi="Times New Roman" w:cs="Times New Roman"/>
          <w:color w:val="222222"/>
          <w:sz w:val="24"/>
          <w:szCs w:val="24"/>
        </w:rPr>
      </w:pPr>
    </w:p>
    <w:p w14:paraId="7962B31B" w14:textId="77777777" w:rsidR="00394E17" w:rsidRPr="006E0C23" w:rsidRDefault="00394E17" w:rsidP="006E0C23">
      <w:pPr>
        <w:spacing w:line="480" w:lineRule="auto"/>
        <w:jc w:val="both"/>
      </w:pPr>
    </w:p>
    <w:sectPr w:rsidR="00394E17" w:rsidRPr="006E0C23" w:rsidSect="006E0C2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E01900" w14:textId="77777777" w:rsidR="008C5638" w:rsidRDefault="008C5638" w:rsidP="00394E17">
      <w:pPr>
        <w:spacing w:after="0" w:line="240" w:lineRule="auto"/>
      </w:pPr>
      <w:r>
        <w:separator/>
      </w:r>
    </w:p>
  </w:endnote>
  <w:endnote w:type="continuationSeparator" w:id="0">
    <w:p w14:paraId="4E01AA24" w14:textId="77777777" w:rsidR="008C5638" w:rsidRDefault="008C5638" w:rsidP="00394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E58EE4" w14:textId="77777777" w:rsidR="008C5638" w:rsidRDefault="008C5638" w:rsidP="00394E17">
      <w:pPr>
        <w:spacing w:after="0" w:line="240" w:lineRule="auto"/>
      </w:pPr>
      <w:r>
        <w:separator/>
      </w:r>
    </w:p>
  </w:footnote>
  <w:footnote w:type="continuationSeparator" w:id="0">
    <w:p w14:paraId="098EA525" w14:textId="77777777" w:rsidR="008C5638" w:rsidRDefault="008C5638" w:rsidP="00394E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89115019"/>
      <w:docPartObj>
        <w:docPartGallery w:val="Page Numbers (Top of Page)"/>
        <w:docPartUnique/>
      </w:docPartObj>
    </w:sdtPr>
    <w:sdtEndPr>
      <w:rPr>
        <w:noProof/>
      </w:rPr>
    </w:sdtEndPr>
    <w:sdtContent>
      <w:p w14:paraId="153758D5" w14:textId="75E72E25" w:rsidR="006E0C23" w:rsidRPr="006E0C23" w:rsidRDefault="006E0C23" w:rsidP="006E0C23">
        <w:pPr>
          <w:shd w:val="clear" w:color="auto" w:fill="FFFFFF"/>
          <w:spacing w:line="480" w:lineRule="auto"/>
          <w:rPr>
            <w:rFonts w:ascii="Times New Roman" w:hAnsi="Times New Roman" w:cs="Times New Roman"/>
            <w:sz w:val="24"/>
            <w:szCs w:val="24"/>
          </w:rPr>
        </w:pPr>
        <w:r w:rsidRPr="006E0C23">
          <w:rPr>
            <w:rFonts w:ascii="Times New Roman" w:eastAsia="Times New Roman" w:hAnsi="Times New Roman" w:cs="Times New Roman"/>
            <w:color w:val="222222"/>
            <w:sz w:val="24"/>
            <w:szCs w:val="24"/>
          </w:rPr>
          <w:t>Demand Forecast Model</w:t>
        </w:r>
        <w:r w:rsidRPr="006E0C23">
          <w:rPr>
            <w:rFonts w:ascii="Times New Roman" w:eastAsia="Times New Roman" w:hAnsi="Times New Roman" w:cs="Times New Roman"/>
            <w:color w:val="222222"/>
            <w:sz w:val="24"/>
            <w:szCs w:val="24"/>
          </w:rPr>
          <w:tab/>
        </w:r>
        <w:r w:rsidRPr="006E0C23">
          <w:rPr>
            <w:rFonts w:ascii="Times New Roman" w:eastAsia="Times New Roman" w:hAnsi="Times New Roman" w:cs="Times New Roman"/>
            <w:color w:val="222222"/>
            <w:sz w:val="24"/>
            <w:szCs w:val="24"/>
          </w:rPr>
          <w:tab/>
        </w:r>
        <w:r w:rsidRPr="006E0C23">
          <w:rPr>
            <w:rFonts w:ascii="Times New Roman" w:eastAsia="Times New Roman" w:hAnsi="Times New Roman" w:cs="Times New Roman"/>
            <w:color w:val="222222"/>
            <w:sz w:val="24"/>
            <w:szCs w:val="24"/>
          </w:rPr>
          <w:tab/>
        </w:r>
        <w:r w:rsidRPr="006E0C23">
          <w:rPr>
            <w:rFonts w:ascii="Times New Roman" w:eastAsia="Times New Roman" w:hAnsi="Times New Roman" w:cs="Times New Roman"/>
            <w:color w:val="222222"/>
            <w:sz w:val="24"/>
            <w:szCs w:val="24"/>
          </w:rPr>
          <w:tab/>
        </w:r>
        <w:r w:rsidRPr="006E0C23">
          <w:rPr>
            <w:rFonts w:ascii="Times New Roman" w:eastAsia="Times New Roman" w:hAnsi="Times New Roman" w:cs="Times New Roman"/>
            <w:color w:val="222222"/>
            <w:sz w:val="24"/>
            <w:szCs w:val="24"/>
          </w:rPr>
          <w:tab/>
        </w:r>
        <w:r w:rsidRPr="006E0C23">
          <w:rPr>
            <w:rFonts w:ascii="Times New Roman" w:eastAsia="Times New Roman" w:hAnsi="Times New Roman" w:cs="Times New Roman"/>
            <w:color w:val="222222"/>
            <w:sz w:val="24"/>
            <w:szCs w:val="24"/>
          </w:rPr>
          <w:tab/>
        </w:r>
        <w:r w:rsidRPr="006E0C23">
          <w:rPr>
            <w:rFonts w:ascii="Times New Roman" w:eastAsia="Times New Roman" w:hAnsi="Times New Roman" w:cs="Times New Roman"/>
            <w:color w:val="222222"/>
            <w:sz w:val="24"/>
            <w:szCs w:val="24"/>
          </w:rPr>
          <w:tab/>
        </w:r>
        <w:r w:rsidRPr="006E0C23">
          <w:rPr>
            <w:rFonts w:ascii="Times New Roman" w:eastAsia="Times New Roman" w:hAnsi="Times New Roman" w:cs="Times New Roman"/>
            <w:color w:val="222222"/>
            <w:sz w:val="24"/>
            <w:szCs w:val="24"/>
          </w:rPr>
          <w:tab/>
        </w:r>
        <w:r w:rsidRPr="006E0C23">
          <w:rPr>
            <w:rFonts w:ascii="Times New Roman" w:eastAsia="Times New Roman" w:hAnsi="Times New Roman" w:cs="Times New Roman"/>
            <w:color w:val="222222"/>
            <w:sz w:val="24"/>
            <w:szCs w:val="24"/>
          </w:rPr>
          <w:tab/>
          <w:t xml:space="preserve">          </w:t>
        </w:r>
        <w:r w:rsidRPr="006E0C23">
          <w:rPr>
            <w:rFonts w:ascii="Times New Roman" w:hAnsi="Times New Roman" w:cs="Times New Roman"/>
            <w:sz w:val="24"/>
            <w:szCs w:val="24"/>
          </w:rPr>
          <w:fldChar w:fldCharType="begin"/>
        </w:r>
        <w:r w:rsidRPr="006E0C23">
          <w:rPr>
            <w:rFonts w:ascii="Times New Roman" w:hAnsi="Times New Roman" w:cs="Times New Roman"/>
            <w:sz w:val="24"/>
            <w:szCs w:val="24"/>
          </w:rPr>
          <w:instrText xml:space="preserve"> PAGE   \* MERGEFORMAT </w:instrText>
        </w:r>
        <w:r w:rsidRPr="006E0C23">
          <w:rPr>
            <w:rFonts w:ascii="Times New Roman" w:hAnsi="Times New Roman" w:cs="Times New Roman"/>
            <w:sz w:val="24"/>
            <w:szCs w:val="24"/>
          </w:rPr>
          <w:fldChar w:fldCharType="separate"/>
        </w:r>
        <w:r w:rsidR="00E4382C">
          <w:rPr>
            <w:rFonts w:ascii="Times New Roman" w:hAnsi="Times New Roman" w:cs="Times New Roman"/>
            <w:noProof/>
            <w:sz w:val="24"/>
            <w:szCs w:val="24"/>
          </w:rPr>
          <w:t>2</w:t>
        </w:r>
        <w:r w:rsidRPr="006E0C23">
          <w:rPr>
            <w:rFonts w:ascii="Times New Roman" w:hAnsi="Times New Roman" w:cs="Times New Roman"/>
            <w:noProof/>
            <w:sz w:val="24"/>
            <w:szCs w:val="24"/>
          </w:rPr>
          <w:fldChar w:fldCharType="end"/>
        </w:r>
      </w:p>
    </w:sdtContent>
  </w:sdt>
  <w:p w14:paraId="53DBE9EB" w14:textId="77777777" w:rsidR="006E0C23" w:rsidRPr="006E0C23" w:rsidRDefault="006E0C2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8B744F" w14:textId="5DF9B4FE" w:rsidR="006E0C23" w:rsidRPr="006E0C23" w:rsidRDefault="006E0C23" w:rsidP="006E0C23">
    <w:pPr>
      <w:shd w:val="clear" w:color="auto" w:fill="FFFFFF"/>
      <w:spacing w:line="480" w:lineRule="auto"/>
      <w:rPr>
        <w:rFonts w:ascii="Times New Roman" w:eastAsia="Times New Roman" w:hAnsi="Times New Roman" w:cs="Times New Roman"/>
        <w:color w:val="222222"/>
        <w:sz w:val="24"/>
        <w:szCs w:val="24"/>
      </w:rPr>
    </w:pPr>
    <w:r w:rsidRPr="006E0C23">
      <w:rPr>
        <w:rFonts w:ascii="Times New Roman" w:hAnsi="Times New Roman" w:cs="Times New Roman"/>
        <w:sz w:val="24"/>
        <w:szCs w:val="24"/>
      </w:rPr>
      <w:t xml:space="preserve">Running head: </w:t>
    </w:r>
    <w:r w:rsidRPr="006E0C23">
      <w:rPr>
        <w:rFonts w:ascii="Times New Roman" w:eastAsia="Times New Roman" w:hAnsi="Times New Roman" w:cs="Times New Roman"/>
        <w:color w:val="222222"/>
        <w:sz w:val="24"/>
        <w:szCs w:val="24"/>
      </w:rPr>
      <w:t>Demand Forecast Model</w:t>
    </w:r>
  </w:p>
  <w:p w14:paraId="43050724" w14:textId="39A2BA9C" w:rsidR="006E0C23" w:rsidRPr="006E0C23" w:rsidRDefault="006E0C2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D05"/>
    <w:rsid w:val="0003478D"/>
    <w:rsid w:val="002A3DB1"/>
    <w:rsid w:val="00394E17"/>
    <w:rsid w:val="003B1A24"/>
    <w:rsid w:val="00483491"/>
    <w:rsid w:val="004E6481"/>
    <w:rsid w:val="005373C1"/>
    <w:rsid w:val="005A7CCE"/>
    <w:rsid w:val="005C69CA"/>
    <w:rsid w:val="006E0C23"/>
    <w:rsid w:val="006F420F"/>
    <w:rsid w:val="007A71F2"/>
    <w:rsid w:val="007D4200"/>
    <w:rsid w:val="00846512"/>
    <w:rsid w:val="008C5638"/>
    <w:rsid w:val="008F72B4"/>
    <w:rsid w:val="00A25E04"/>
    <w:rsid w:val="00A36793"/>
    <w:rsid w:val="00AB2C8C"/>
    <w:rsid w:val="00AC5574"/>
    <w:rsid w:val="00B9797D"/>
    <w:rsid w:val="00BA2B73"/>
    <w:rsid w:val="00BA335A"/>
    <w:rsid w:val="00C00786"/>
    <w:rsid w:val="00C73D05"/>
    <w:rsid w:val="00D61049"/>
    <w:rsid w:val="00DA0CA6"/>
    <w:rsid w:val="00E4382C"/>
    <w:rsid w:val="00F62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F2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94E1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E17"/>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394E17"/>
  </w:style>
  <w:style w:type="paragraph" w:styleId="Header">
    <w:name w:val="header"/>
    <w:basedOn w:val="Normal"/>
    <w:link w:val="HeaderChar"/>
    <w:uiPriority w:val="99"/>
    <w:unhideWhenUsed/>
    <w:rsid w:val="00394E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4E17"/>
  </w:style>
  <w:style w:type="paragraph" w:styleId="Footer">
    <w:name w:val="footer"/>
    <w:basedOn w:val="Normal"/>
    <w:link w:val="FooterChar"/>
    <w:uiPriority w:val="99"/>
    <w:unhideWhenUsed/>
    <w:rsid w:val="00394E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E17"/>
  </w:style>
  <w:style w:type="paragraph" w:styleId="BalloonText">
    <w:name w:val="Balloon Text"/>
    <w:basedOn w:val="Normal"/>
    <w:link w:val="BalloonTextChar"/>
    <w:uiPriority w:val="99"/>
    <w:semiHidden/>
    <w:unhideWhenUsed/>
    <w:rsid w:val="006E0C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0C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94E1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E17"/>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394E17"/>
  </w:style>
  <w:style w:type="paragraph" w:styleId="Header">
    <w:name w:val="header"/>
    <w:basedOn w:val="Normal"/>
    <w:link w:val="HeaderChar"/>
    <w:uiPriority w:val="99"/>
    <w:unhideWhenUsed/>
    <w:rsid w:val="00394E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4E17"/>
  </w:style>
  <w:style w:type="paragraph" w:styleId="Footer">
    <w:name w:val="footer"/>
    <w:basedOn w:val="Normal"/>
    <w:link w:val="FooterChar"/>
    <w:uiPriority w:val="99"/>
    <w:unhideWhenUsed/>
    <w:rsid w:val="00394E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E17"/>
  </w:style>
  <w:style w:type="paragraph" w:styleId="BalloonText">
    <w:name w:val="Balloon Text"/>
    <w:basedOn w:val="Normal"/>
    <w:link w:val="BalloonTextChar"/>
    <w:uiPriority w:val="99"/>
    <w:semiHidden/>
    <w:unhideWhenUsed/>
    <w:rsid w:val="006E0C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0C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083883">
      <w:bodyDiv w:val="1"/>
      <w:marLeft w:val="0"/>
      <w:marRight w:val="0"/>
      <w:marTop w:val="0"/>
      <w:marBottom w:val="0"/>
      <w:divBdr>
        <w:top w:val="none" w:sz="0" w:space="0" w:color="auto"/>
        <w:left w:val="none" w:sz="0" w:space="0" w:color="auto"/>
        <w:bottom w:val="none" w:sz="0" w:space="0" w:color="auto"/>
        <w:right w:val="none" w:sz="0" w:space="0" w:color="auto"/>
      </w:divBdr>
    </w:div>
    <w:div w:id="1092749160">
      <w:bodyDiv w:val="1"/>
      <w:marLeft w:val="0"/>
      <w:marRight w:val="0"/>
      <w:marTop w:val="0"/>
      <w:marBottom w:val="0"/>
      <w:divBdr>
        <w:top w:val="none" w:sz="0" w:space="0" w:color="auto"/>
        <w:left w:val="none" w:sz="0" w:space="0" w:color="auto"/>
        <w:bottom w:val="none" w:sz="0" w:space="0" w:color="auto"/>
        <w:right w:val="none" w:sz="0" w:space="0" w:color="auto"/>
      </w:divBdr>
    </w:div>
    <w:div w:id="1452939739">
      <w:bodyDiv w:val="1"/>
      <w:marLeft w:val="0"/>
      <w:marRight w:val="0"/>
      <w:marTop w:val="0"/>
      <w:marBottom w:val="0"/>
      <w:divBdr>
        <w:top w:val="none" w:sz="0" w:space="0" w:color="auto"/>
        <w:left w:val="none" w:sz="0" w:space="0" w:color="auto"/>
        <w:bottom w:val="none" w:sz="0" w:space="0" w:color="auto"/>
        <w:right w:val="none" w:sz="0" w:space="0" w:color="auto"/>
      </w:divBdr>
    </w:div>
    <w:div w:id="1502621117">
      <w:bodyDiv w:val="1"/>
      <w:marLeft w:val="0"/>
      <w:marRight w:val="0"/>
      <w:marTop w:val="0"/>
      <w:marBottom w:val="0"/>
      <w:divBdr>
        <w:top w:val="none" w:sz="0" w:space="0" w:color="auto"/>
        <w:left w:val="none" w:sz="0" w:space="0" w:color="auto"/>
        <w:bottom w:val="none" w:sz="0" w:space="0" w:color="auto"/>
        <w:right w:val="none" w:sz="0" w:space="0" w:color="auto"/>
      </w:divBdr>
    </w:div>
    <w:div w:id="1616594267">
      <w:bodyDiv w:val="1"/>
      <w:marLeft w:val="0"/>
      <w:marRight w:val="0"/>
      <w:marTop w:val="0"/>
      <w:marBottom w:val="0"/>
      <w:divBdr>
        <w:top w:val="none" w:sz="0" w:space="0" w:color="auto"/>
        <w:left w:val="none" w:sz="0" w:space="0" w:color="auto"/>
        <w:bottom w:val="none" w:sz="0" w:space="0" w:color="auto"/>
        <w:right w:val="none" w:sz="0" w:space="0" w:color="auto"/>
      </w:divBdr>
    </w:div>
    <w:div w:id="1676036385">
      <w:bodyDiv w:val="1"/>
      <w:marLeft w:val="0"/>
      <w:marRight w:val="0"/>
      <w:marTop w:val="0"/>
      <w:marBottom w:val="0"/>
      <w:divBdr>
        <w:top w:val="none" w:sz="0" w:space="0" w:color="auto"/>
        <w:left w:val="none" w:sz="0" w:space="0" w:color="auto"/>
        <w:bottom w:val="none" w:sz="0" w:space="0" w:color="auto"/>
        <w:right w:val="none" w:sz="0" w:space="0" w:color="auto"/>
      </w:divBdr>
    </w:div>
    <w:div w:id="2036879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Rob141</b:Tag>
    <b:SourceType>JournalArticle</b:SourceType>
    <b:Guid>{98EE776B-2CBF-48F8-8B16-74372E638D6E}</b:Guid>
    <b:Author>
      <b:Author>
        <b:NameList>
          <b:Person>
            <b:Last>Roberts</b:Last>
          </b:Person>
          <b:Person>
            <b:Last>Gary</b:Last>
            <b:First>B</b:First>
          </b:Person>
          <b:Person>
            <b:Last>Heriot</b:Last>
          </b:Person>
        </b:NameList>
      </b:Author>
    </b:Author>
    <b:Title>Forecasting Demand: Sensitivity Analysis of Financial Assumptions Using MS Excel</b:Title>
    <b:JournalName>Atlantic Marketing Journal</b:JournalName>
    <b:Year>2014</b:Year>
    <b:Pages>32-54</b:Pages>
    <b:RefOrder>3</b:RefOrder>
  </b:Source>
  <b:Source>
    <b:Tag>Col12</b:Tag>
    <b:SourceType>Book</b:SourceType>
    <b:Guid>{6BED2186-99C1-41B8-BC5B-24681E81269C}</b:Guid>
    <b:Title>Demand Forecasting and Inventory Control</b:Title>
    <b:Year>2012</b:Year>
    <b:Author>
      <b:Author>
        <b:NameList>
          <b:Person>
            <b:Last>Lewis</b:Last>
            <b:First>Collin</b:First>
          </b:Person>
        </b:NameList>
      </b:Author>
    </b:Author>
    <b:City>New York</b:City>
    <b:Publisher>Routledge Publishers</b:Publisher>
    <b:RefOrder>1</b:RefOrder>
  </b:Source>
  <b:Source>
    <b:Tag>Cha13</b:Tag>
    <b:SourceType>Book</b:SourceType>
    <b:Guid>{7B39F2DA-B9CB-43EC-AFB9-8634A35E1802}</b:Guid>
    <b:Author>
      <b:Author>
        <b:NameList>
          <b:Person>
            <b:Last>Chase</b:Last>
            <b:First>Charles</b:First>
          </b:Person>
        </b:NameList>
      </b:Author>
    </b:Author>
    <b:Title>Demand-Driven Forecasting: A Structured Approach to Forecasting</b:Title>
    <b:Year>2013</b:Year>
    <b:City>Hoboken</b:City>
    <b:Publisher>John Wiley &amp; Sons</b:Publisher>
    <b:RefOrder>2</b:RefOrder>
  </b:Source>
  <b:Source>
    <b:Tag>Nic14</b:Tag>
    <b:SourceType>Book</b:SourceType>
    <b:Guid>{D1AF1207-A0CF-45EC-8B7C-8EF810586CFE}</b:Guid>
    <b:Author>
      <b:Author>
        <b:NameList>
          <b:Person>
            <b:Last>Thomsonpolous</b:Last>
            <b:First>Nick</b:First>
          </b:Person>
        </b:NameList>
      </b:Author>
    </b:Author>
    <b:Title>Demand Forecasting for Inventory Control</b:Title>
    <b:Year>2014</b:Year>
    <b:City>New York </b:City>
    <b:Publisher>Springer Publishers</b:Publisher>
    <b:RefOrder>4</b:RefOrder>
  </b:Source>
</b:Sources>
</file>

<file path=customXml/itemProps1.xml><?xml version="1.0" encoding="utf-8"?>
<ds:datastoreItem xmlns:ds="http://schemas.openxmlformats.org/officeDocument/2006/customXml" ds:itemID="{3AD77310-3448-4F4D-96B5-5CF1D7573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1004</Words>
  <Characters>5725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maggie</cp:lastModifiedBy>
  <cp:revision>2</cp:revision>
  <dcterms:created xsi:type="dcterms:W3CDTF">2018-11-26T21:41:00Z</dcterms:created>
  <dcterms:modified xsi:type="dcterms:W3CDTF">2018-11-26T21:41:00Z</dcterms:modified>
</cp:coreProperties>
</file>